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5860E1">
        <w:rPr>
          <w:rFonts w:ascii="Times New Roman" w:hAnsi="Times New Roman"/>
          <w:sz w:val="24"/>
        </w:rPr>
        <w:t>89</w:t>
      </w:r>
      <w:r w:rsidR="002A5031">
        <w:rPr>
          <w:rFonts w:ascii="Times New Roman" w:hAnsi="Times New Roman"/>
          <w:sz w:val="24"/>
        </w:rPr>
        <w:tab/>
        <w:t>R4-1815581</w:t>
      </w:r>
      <w:bookmarkStart w:id="0" w:name="_GoBack"/>
      <w:bookmarkEnd w:id="0"/>
    </w:p>
    <w:p w:rsidR="005813AA" w:rsidRPr="00552689" w:rsidRDefault="005860E1" w:rsidP="005813AA">
      <w:pPr>
        <w:pStyle w:val="Header"/>
        <w:rPr>
          <w:rFonts w:ascii="Times New Roman" w:hAnsi="Times New Roman"/>
          <w:sz w:val="24"/>
          <w:lang w:val="en-US"/>
        </w:rPr>
      </w:pPr>
      <w:r>
        <w:rPr>
          <w:rFonts w:ascii="Times New Roman" w:hAnsi="Times New Roman"/>
          <w:sz w:val="24"/>
          <w:lang w:val="en-US"/>
        </w:rPr>
        <w:t>Spokane</w:t>
      </w:r>
      <w:r w:rsidR="005813AA">
        <w:rPr>
          <w:rFonts w:ascii="Times New Roman" w:hAnsi="Times New Roman"/>
          <w:sz w:val="24"/>
          <w:lang w:val="en-US"/>
        </w:rPr>
        <w:t xml:space="preserve">, </w:t>
      </w:r>
      <w:r>
        <w:rPr>
          <w:rFonts w:ascii="Times New Roman" w:hAnsi="Times New Roman"/>
          <w:sz w:val="24"/>
          <w:lang w:val="en-US"/>
        </w:rPr>
        <w:t>USA</w:t>
      </w:r>
      <w:r w:rsidR="005813AA">
        <w:rPr>
          <w:rFonts w:ascii="Times New Roman" w:hAnsi="Times New Roman"/>
          <w:sz w:val="24"/>
          <w:lang w:val="en-US"/>
        </w:rPr>
        <w:t xml:space="preserve">, </w:t>
      </w:r>
      <w:r>
        <w:rPr>
          <w:rFonts w:ascii="Times New Roman" w:hAnsi="Times New Roman"/>
          <w:sz w:val="24"/>
          <w:lang w:val="en-US"/>
        </w:rPr>
        <w:t>12</w:t>
      </w:r>
      <w:r w:rsidR="002B1082">
        <w:rPr>
          <w:rFonts w:ascii="Times New Roman" w:hAnsi="Times New Roman"/>
          <w:sz w:val="24"/>
          <w:lang w:val="en-US"/>
        </w:rPr>
        <w:t>-1</w:t>
      </w:r>
      <w:r>
        <w:rPr>
          <w:rFonts w:ascii="Times New Roman" w:hAnsi="Times New Roman"/>
          <w:sz w:val="24"/>
          <w:lang w:val="en-US"/>
        </w:rPr>
        <w:t>6</w:t>
      </w:r>
      <w:r w:rsidR="002B1082">
        <w:rPr>
          <w:rFonts w:ascii="Times New Roman" w:hAnsi="Times New Roman"/>
          <w:sz w:val="24"/>
          <w:lang w:val="en-US"/>
        </w:rPr>
        <w:t xml:space="preserve"> </w:t>
      </w:r>
      <w:r>
        <w:rPr>
          <w:rFonts w:ascii="Times New Roman" w:hAnsi="Times New Roman"/>
          <w:sz w:val="24"/>
          <w:lang w:val="en-US"/>
        </w:rPr>
        <w:t>November</w:t>
      </w:r>
      <w:r w:rsidR="005813AA">
        <w:rPr>
          <w:rFonts w:ascii="Times New Roman" w:hAnsi="Times New Roman"/>
          <w:sz w:val="24"/>
          <w:lang w:val="en-US"/>
        </w:rPr>
        <w:t>, 2018</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D15026">
        <w:rPr>
          <w:rFonts w:ascii="Arial" w:hAnsi="Arial" w:cs="Arial"/>
          <w:sz w:val="24"/>
          <w:lang w:val="en-US" w:eastAsia="zh-CN"/>
        </w:rPr>
        <w:t>CSSF</w:t>
      </w:r>
      <w:r w:rsidR="00D15026" w:rsidRPr="000624E6">
        <w:rPr>
          <w:rFonts w:ascii="Arial" w:hAnsi="Arial" w:cs="Arial"/>
          <w:sz w:val="24"/>
          <w:vertAlign w:val="subscript"/>
          <w:lang w:val="en-US" w:eastAsia="zh-CN"/>
        </w:rPr>
        <w:t>outside_gap,i</w:t>
      </w:r>
      <w:r w:rsidR="00D15026">
        <w:rPr>
          <w:rFonts w:ascii="Arial" w:hAnsi="Arial" w:cs="Arial"/>
          <w:sz w:val="24"/>
          <w:lang w:val="en-US" w:eastAsia="zh-CN"/>
        </w:rPr>
        <w:t xml:space="preserve"> definition for FR1+FR2 carrier aggregation</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7D2D58">
        <w:rPr>
          <w:rFonts w:ascii="Arial" w:hAnsi="Arial" w:cs="Arial"/>
          <w:sz w:val="24"/>
          <w:lang w:val="en-US" w:eastAsia="zh-CN"/>
        </w:rPr>
        <w:t>7.11.3.2.1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2B1082" w:rsidRDefault="00D15026" w:rsidP="002B1082">
      <w:r>
        <w:t xml:space="preserve">In </w:t>
      </w:r>
      <w:r w:rsidR="000624E6">
        <w:fldChar w:fldCharType="begin"/>
      </w:r>
      <w:r w:rsidR="000624E6">
        <w:instrText xml:space="preserve"> REF _Ref527716554 \r \h </w:instrText>
      </w:r>
      <w:r w:rsidR="000624E6">
        <w:fldChar w:fldCharType="separate"/>
      </w:r>
      <w:r w:rsidR="000624E6">
        <w:t>[1]</w:t>
      </w:r>
      <w:r w:rsidR="000624E6">
        <w:fldChar w:fldCharType="end"/>
      </w:r>
      <w:r w:rsidR="000624E6">
        <w:t xml:space="preserve"> a CR was agreed which restructured the parameter formerly known as K</w:t>
      </w:r>
      <w:r w:rsidR="000624E6" w:rsidRPr="000624E6">
        <w:rPr>
          <w:vertAlign w:val="subscript"/>
        </w:rPr>
        <w:t>ca</w:t>
      </w:r>
      <w:r w:rsidR="000624E6">
        <w:t xml:space="preserve"> to section 9.1.5.1 and renamed it as </w:t>
      </w:r>
      <w:r w:rsidR="000624E6" w:rsidRPr="003A016C">
        <w:rPr>
          <w:i/>
        </w:rPr>
        <w:t>C</w:t>
      </w:r>
      <w:r w:rsidR="000624E6">
        <w:rPr>
          <w:i/>
        </w:rPr>
        <w:t>S</w:t>
      </w:r>
      <w:r w:rsidR="000624E6" w:rsidRPr="003A016C">
        <w:rPr>
          <w:i/>
        </w:rPr>
        <w:t>SF</w:t>
      </w:r>
      <w:r w:rsidR="000624E6" w:rsidRPr="003A016C">
        <w:rPr>
          <w:vertAlign w:val="subscript"/>
        </w:rPr>
        <w:t>outside_gap_i</w:t>
      </w:r>
      <w:r w:rsidR="000624E6" w:rsidRPr="000624E6">
        <w:t>.</w:t>
      </w:r>
      <w:r w:rsidR="000624E6">
        <w:t xml:space="preserve"> For FR1-only and FR2-only CA, the scaling factor is agreed as</w:t>
      </w:r>
    </w:p>
    <w:p w:rsidR="000624E6" w:rsidRPr="00FA2D4F" w:rsidRDefault="000624E6" w:rsidP="000624E6">
      <w:pPr>
        <w:ind w:left="284" w:hanging="284"/>
        <w:rPr>
          <w:rFonts w:eastAsia="Times New Roman"/>
          <w:i/>
        </w:rPr>
      </w:pPr>
    </w:p>
    <w:p w:rsidR="000624E6" w:rsidRPr="00FA2D4F" w:rsidRDefault="000624E6" w:rsidP="000624E6">
      <w:pPr>
        <w:jc w:val="center"/>
      </w:pPr>
      <w:r w:rsidRPr="00FA2D4F">
        <w:rPr>
          <w:rFonts w:ascii="Arial" w:hAnsi="Arial"/>
          <w:b/>
        </w:rPr>
        <w:t xml:space="preserve">Table 9.1.5.1.1-1: </w:t>
      </w:r>
      <w:r w:rsidRPr="00FA2D4F">
        <w:rPr>
          <w:b/>
          <w:i/>
        </w:rPr>
        <w:t>CSSF</w:t>
      </w:r>
      <w:r w:rsidRPr="00FA2D4F">
        <w:rPr>
          <w:vertAlign w:val="subscript"/>
        </w:rPr>
        <w:t>outside_gap_i</w:t>
      </w:r>
      <w:r w:rsidRPr="00FA2D4F">
        <w:rPr>
          <w:rFonts w:ascii="Arial" w:hAnsi="Arial"/>
          <w:b/>
        </w:rPr>
        <w:t xml:space="preserve"> scaling factor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41"/>
        <w:gridCol w:w="1942"/>
        <w:gridCol w:w="1942"/>
        <w:gridCol w:w="1942"/>
      </w:tblGrid>
      <w:tr w:rsidR="000624E6" w:rsidRPr="00FA2D4F" w:rsidTr="00016DFB">
        <w:trPr>
          <w:trHeight w:val="340"/>
          <w:jc w:val="center"/>
        </w:trPr>
        <w:tc>
          <w:tcPr>
            <w:tcW w:w="1413" w:type="dxa"/>
            <w:shd w:val="clear" w:color="auto" w:fill="auto"/>
          </w:tcPr>
          <w:p w:rsidR="000624E6" w:rsidRPr="00FA2D4F" w:rsidRDefault="000624E6" w:rsidP="00016DFB">
            <w:pPr>
              <w:spacing w:after="0"/>
              <w:rPr>
                <w:sz w:val="18"/>
              </w:rPr>
            </w:pPr>
          </w:p>
        </w:tc>
        <w:tc>
          <w:tcPr>
            <w:tcW w:w="1941" w:type="dxa"/>
            <w:shd w:val="clear" w:color="auto" w:fill="auto"/>
          </w:tcPr>
          <w:p w:rsidR="000624E6" w:rsidRPr="00FA2D4F" w:rsidRDefault="000624E6" w:rsidP="00016DFB">
            <w:pPr>
              <w:spacing w:after="0"/>
              <w:rPr>
                <w:b/>
                <w:sz w:val="18"/>
              </w:rPr>
            </w:pPr>
            <w:r w:rsidRPr="00FA2D4F">
              <w:rPr>
                <w:b/>
                <w:i/>
                <w:sz w:val="18"/>
              </w:rPr>
              <w:t>CSSF</w:t>
            </w:r>
            <w:r w:rsidRPr="00FA2D4F">
              <w:rPr>
                <w:sz w:val="18"/>
                <w:vertAlign w:val="subscript"/>
              </w:rPr>
              <w:t>outside_gap_i</w:t>
            </w:r>
            <w:r w:rsidRPr="00FA2D4F">
              <w:rPr>
                <w:b/>
                <w:sz w:val="18"/>
              </w:rPr>
              <w:t xml:space="preserve"> for FR1 PSCell</w:t>
            </w:r>
            <w:r w:rsidRPr="00FA2D4F">
              <w:rPr>
                <w:b/>
                <w:sz w:val="18"/>
              </w:rPr>
              <w:br/>
            </w:r>
          </w:p>
        </w:tc>
        <w:tc>
          <w:tcPr>
            <w:tcW w:w="1942" w:type="dxa"/>
            <w:shd w:val="clear" w:color="auto" w:fill="auto"/>
          </w:tcPr>
          <w:p w:rsidR="000624E6" w:rsidRPr="00FA2D4F" w:rsidRDefault="000624E6" w:rsidP="00016DFB">
            <w:pPr>
              <w:spacing w:after="0"/>
              <w:rPr>
                <w:b/>
                <w:sz w:val="18"/>
              </w:rPr>
            </w:pPr>
            <w:r w:rsidRPr="00FA2D4F">
              <w:rPr>
                <w:b/>
                <w:i/>
                <w:sz w:val="18"/>
              </w:rPr>
              <w:t>CSSF</w:t>
            </w:r>
            <w:r w:rsidRPr="00FA2D4F">
              <w:rPr>
                <w:sz w:val="18"/>
                <w:vertAlign w:val="subscript"/>
              </w:rPr>
              <w:t>outside_gap_i</w:t>
            </w:r>
            <w:r w:rsidRPr="00FA2D4F">
              <w:rPr>
                <w:b/>
                <w:sz w:val="18"/>
              </w:rPr>
              <w:t xml:space="preserve"> for FR1 SCells</w:t>
            </w:r>
          </w:p>
        </w:tc>
        <w:tc>
          <w:tcPr>
            <w:tcW w:w="1942" w:type="dxa"/>
            <w:shd w:val="clear" w:color="auto" w:fill="auto"/>
          </w:tcPr>
          <w:p w:rsidR="000624E6" w:rsidRPr="00FA2D4F" w:rsidRDefault="000624E6" w:rsidP="00016DFB">
            <w:pPr>
              <w:spacing w:after="0"/>
              <w:rPr>
                <w:b/>
                <w:sz w:val="18"/>
              </w:rPr>
            </w:pPr>
            <w:r w:rsidRPr="00FA2D4F">
              <w:rPr>
                <w:b/>
                <w:i/>
                <w:sz w:val="18"/>
              </w:rPr>
              <w:t>CSSF</w:t>
            </w:r>
            <w:r w:rsidRPr="00FA2D4F">
              <w:rPr>
                <w:sz w:val="18"/>
                <w:vertAlign w:val="subscript"/>
              </w:rPr>
              <w:t>outside_gap_i</w:t>
            </w:r>
            <w:r w:rsidRPr="00FA2D4F">
              <w:rPr>
                <w:b/>
                <w:sz w:val="18"/>
              </w:rPr>
              <w:t xml:space="preserve"> for FR2 PScell/frequency where SCC neighbours are measured</w:t>
            </w:r>
          </w:p>
        </w:tc>
        <w:tc>
          <w:tcPr>
            <w:tcW w:w="1942" w:type="dxa"/>
            <w:shd w:val="clear" w:color="auto" w:fill="auto"/>
          </w:tcPr>
          <w:p w:rsidR="000624E6" w:rsidRPr="00FA2D4F" w:rsidRDefault="000624E6" w:rsidP="00016DFB">
            <w:pPr>
              <w:spacing w:after="0"/>
              <w:rPr>
                <w:b/>
                <w:sz w:val="18"/>
              </w:rPr>
            </w:pPr>
            <w:r w:rsidRPr="00FA2D4F">
              <w:rPr>
                <w:b/>
                <w:i/>
                <w:sz w:val="18"/>
              </w:rPr>
              <w:t>CSSF</w:t>
            </w:r>
            <w:r w:rsidRPr="00FA2D4F">
              <w:rPr>
                <w:sz w:val="18"/>
                <w:vertAlign w:val="subscript"/>
              </w:rPr>
              <w:t>outside_gap_i</w:t>
            </w:r>
            <w:r w:rsidRPr="00FA2D4F">
              <w:rPr>
                <w:b/>
                <w:sz w:val="18"/>
              </w:rPr>
              <w:t xml:space="preserve"> for FR2 SCells where neighbour cell measurement on the SCC is not required</w:t>
            </w:r>
          </w:p>
        </w:tc>
      </w:tr>
      <w:tr w:rsidR="000624E6" w:rsidRPr="00FA2D4F" w:rsidTr="00016DFB">
        <w:trPr>
          <w:trHeight w:val="340"/>
          <w:jc w:val="center"/>
        </w:trPr>
        <w:tc>
          <w:tcPr>
            <w:tcW w:w="1413" w:type="dxa"/>
            <w:shd w:val="clear" w:color="auto" w:fill="auto"/>
          </w:tcPr>
          <w:p w:rsidR="000624E6" w:rsidRPr="00FA2D4F" w:rsidRDefault="000624E6" w:rsidP="00016DFB">
            <w:pPr>
              <w:spacing w:after="0"/>
              <w:rPr>
                <w:b/>
                <w:sz w:val="18"/>
              </w:rPr>
            </w:pPr>
            <w:r w:rsidRPr="00FA2D4F">
              <w:rPr>
                <w:b/>
                <w:sz w:val="18"/>
              </w:rPr>
              <w:t xml:space="preserve">EN-DC with FR1 only CA </w:t>
            </w:r>
          </w:p>
        </w:tc>
        <w:tc>
          <w:tcPr>
            <w:tcW w:w="1941" w:type="dxa"/>
            <w:shd w:val="clear" w:color="auto" w:fill="auto"/>
            <w:vAlign w:val="center"/>
          </w:tcPr>
          <w:p w:rsidR="000624E6" w:rsidRPr="00FA2D4F" w:rsidRDefault="000624E6" w:rsidP="00016DFB">
            <w:pPr>
              <w:spacing w:after="0"/>
              <w:jc w:val="center"/>
              <w:rPr>
                <w:sz w:val="18"/>
                <w:vertAlign w:val="superscript"/>
              </w:rPr>
            </w:pPr>
            <w:r w:rsidRPr="00FA2D4F">
              <w:rPr>
                <w:sz w:val="18"/>
              </w:rPr>
              <w:t>1</w:t>
            </w:r>
          </w:p>
        </w:tc>
        <w:tc>
          <w:tcPr>
            <w:tcW w:w="1942" w:type="dxa"/>
            <w:shd w:val="clear" w:color="auto" w:fill="auto"/>
            <w:vAlign w:val="center"/>
          </w:tcPr>
          <w:p w:rsidR="000624E6" w:rsidRPr="00FA2D4F" w:rsidRDefault="000624E6" w:rsidP="00016DFB">
            <w:pPr>
              <w:spacing w:after="0"/>
              <w:jc w:val="center"/>
              <w:rPr>
                <w:sz w:val="18"/>
              </w:rPr>
            </w:pPr>
            <w:r w:rsidRPr="00FA2D4F">
              <w:rPr>
                <w:sz w:val="18"/>
              </w:rPr>
              <w:t>Number of configured FR1 SCells</w:t>
            </w:r>
          </w:p>
        </w:tc>
        <w:tc>
          <w:tcPr>
            <w:tcW w:w="1942" w:type="dxa"/>
            <w:shd w:val="clear" w:color="auto" w:fill="auto"/>
            <w:vAlign w:val="center"/>
          </w:tcPr>
          <w:p w:rsidR="000624E6" w:rsidRPr="00FA2D4F" w:rsidRDefault="000624E6" w:rsidP="00016DFB">
            <w:pPr>
              <w:spacing w:after="0"/>
              <w:jc w:val="center"/>
              <w:rPr>
                <w:sz w:val="18"/>
              </w:rPr>
            </w:pPr>
            <w:r w:rsidRPr="00FA2D4F">
              <w:rPr>
                <w:sz w:val="18"/>
              </w:rPr>
              <w:t>N/A</w:t>
            </w:r>
          </w:p>
        </w:tc>
        <w:tc>
          <w:tcPr>
            <w:tcW w:w="1942" w:type="dxa"/>
            <w:shd w:val="clear" w:color="auto" w:fill="auto"/>
            <w:vAlign w:val="center"/>
          </w:tcPr>
          <w:p w:rsidR="000624E6" w:rsidRPr="00FA2D4F" w:rsidRDefault="000624E6" w:rsidP="00016DFB">
            <w:pPr>
              <w:spacing w:after="0"/>
              <w:jc w:val="center"/>
              <w:rPr>
                <w:sz w:val="18"/>
              </w:rPr>
            </w:pPr>
            <w:r w:rsidRPr="00FA2D4F">
              <w:rPr>
                <w:sz w:val="18"/>
              </w:rPr>
              <w:t>N/A</w:t>
            </w:r>
          </w:p>
        </w:tc>
      </w:tr>
      <w:tr w:rsidR="000624E6" w:rsidRPr="00FA2D4F" w:rsidTr="00016DFB">
        <w:trPr>
          <w:trHeight w:val="340"/>
          <w:jc w:val="center"/>
        </w:trPr>
        <w:tc>
          <w:tcPr>
            <w:tcW w:w="1413" w:type="dxa"/>
            <w:shd w:val="clear" w:color="auto" w:fill="auto"/>
          </w:tcPr>
          <w:p w:rsidR="000624E6" w:rsidRPr="00FA2D4F" w:rsidRDefault="000624E6" w:rsidP="00016DFB">
            <w:pPr>
              <w:spacing w:after="0"/>
              <w:rPr>
                <w:b/>
                <w:sz w:val="18"/>
              </w:rPr>
            </w:pPr>
            <w:r w:rsidRPr="00FA2D4F">
              <w:rPr>
                <w:b/>
                <w:sz w:val="18"/>
              </w:rPr>
              <w:t>EN-DC with</w:t>
            </w:r>
          </w:p>
          <w:p w:rsidR="000624E6" w:rsidRPr="00FA2D4F" w:rsidRDefault="000624E6" w:rsidP="00016DFB">
            <w:pPr>
              <w:spacing w:after="0"/>
              <w:rPr>
                <w:b/>
                <w:sz w:val="18"/>
              </w:rPr>
            </w:pPr>
            <w:r w:rsidRPr="00FA2D4F">
              <w:rPr>
                <w:b/>
                <w:sz w:val="18"/>
              </w:rPr>
              <w:t xml:space="preserve">FR2 only intra band CA </w:t>
            </w:r>
          </w:p>
        </w:tc>
        <w:tc>
          <w:tcPr>
            <w:tcW w:w="1941" w:type="dxa"/>
            <w:shd w:val="clear" w:color="auto" w:fill="auto"/>
            <w:vAlign w:val="center"/>
          </w:tcPr>
          <w:p w:rsidR="000624E6" w:rsidRPr="00FA2D4F" w:rsidRDefault="000624E6" w:rsidP="00016DFB">
            <w:pPr>
              <w:spacing w:after="0"/>
              <w:jc w:val="center"/>
              <w:rPr>
                <w:b/>
                <w:sz w:val="18"/>
              </w:rPr>
            </w:pPr>
            <w:r w:rsidRPr="00FA2D4F">
              <w:rPr>
                <w:sz w:val="18"/>
              </w:rPr>
              <w:t>N/A</w:t>
            </w:r>
          </w:p>
        </w:tc>
        <w:tc>
          <w:tcPr>
            <w:tcW w:w="1942" w:type="dxa"/>
            <w:shd w:val="clear" w:color="auto" w:fill="auto"/>
            <w:vAlign w:val="center"/>
          </w:tcPr>
          <w:p w:rsidR="000624E6" w:rsidRPr="00FA2D4F" w:rsidRDefault="000624E6" w:rsidP="00016DFB">
            <w:pPr>
              <w:spacing w:after="0"/>
              <w:jc w:val="center"/>
              <w:rPr>
                <w:b/>
                <w:sz w:val="18"/>
              </w:rPr>
            </w:pPr>
            <w:r w:rsidRPr="00FA2D4F">
              <w:rPr>
                <w:sz w:val="18"/>
              </w:rPr>
              <w:t>N/A</w:t>
            </w:r>
          </w:p>
        </w:tc>
        <w:tc>
          <w:tcPr>
            <w:tcW w:w="1942" w:type="dxa"/>
            <w:shd w:val="clear" w:color="auto" w:fill="auto"/>
            <w:vAlign w:val="center"/>
          </w:tcPr>
          <w:p w:rsidR="000624E6" w:rsidRPr="00FA2D4F" w:rsidRDefault="000624E6" w:rsidP="00016DFB">
            <w:pPr>
              <w:spacing w:after="0"/>
              <w:jc w:val="center"/>
              <w:rPr>
                <w:sz w:val="18"/>
              </w:rPr>
            </w:pPr>
            <w:r w:rsidRPr="00FA2D4F">
              <w:rPr>
                <w:sz w:val="18"/>
              </w:rPr>
              <w:t>1</w:t>
            </w:r>
          </w:p>
        </w:tc>
        <w:tc>
          <w:tcPr>
            <w:tcW w:w="1942" w:type="dxa"/>
            <w:shd w:val="clear" w:color="auto" w:fill="auto"/>
            <w:vAlign w:val="center"/>
          </w:tcPr>
          <w:p w:rsidR="000624E6" w:rsidRPr="00FA2D4F" w:rsidRDefault="000624E6" w:rsidP="00016DFB">
            <w:pPr>
              <w:spacing w:after="0"/>
              <w:jc w:val="center"/>
              <w:rPr>
                <w:sz w:val="18"/>
              </w:rPr>
            </w:pPr>
            <w:r w:rsidRPr="00FA2D4F">
              <w:rPr>
                <w:sz w:val="18"/>
              </w:rPr>
              <w:t>[Number of configured FR2 SCells]</w:t>
            </w:r>
          </w:p>
        </w:tc>
      </w:tr>
      <w:tr w:rsidR="000624E6" w:rsidRPr="00FA2D4F" w:rsidTr="00016DFB">
        <w:trPr>
          <w:trHeight w:val="340"/>
          <w:jc w:val="center"/>
        </w:trPr>
        <w:tc>
          <w:tcPr>
            <w:tcW w:w="1413" w:type="dxa"/>
            <w:shd w:val="clear" w:color="auto" w:fill="auto"/>
          </w:tcPr>
          <w:p w:rsidR="000624E6" w:rsidRPr="00FA2D4F" w:rsidRDefault="000624E6" w:rsidP="00016DFB">
            <w:pPr>
              <w:spacing w:after="0"/>
              <w:rPr>
                <w:b/>
                <w:sz w:val="18"/>
              </w:rPr>
            </w:pPr>
            <w:r w:rsidRPr="00FA2D4F">
              <w:rPr>
                <w:b/>
                <w:sz w:val="18"/>
              </w:rPr>
              <w:t>EN-DC with</w:t>
            </w:r>
          </w:p>
          <w:p w:rsidR="000624E6" w:rsidRPr="00FA2D4F" w:rsidRDefault="000624E6" w:rsidP="00016DFB">
            <w:pPr>
              <w:spacing w:after="0"/>
              <w:rPr>
                <w:b/>
                <w:sz w:val="18"/>
              </w:rPr>
            </w:pPr>
            <w:r w:rsidRPr="00FA2D4F">
              <w:rPr>
                <w:b/>
                <w:sz w:val="18"/>
              </w:rPr>
              <w:t xml:space="preserve">FR1 +FR2 CA </w:t>
            </w:r>
          </w:p>
        </w:tc>
        <w:tc>
          <w:tcPr>
            <w:tcW w:w="1941" w:type="dxa"/>
            <w:shd w:val="clear" w:color="auto" w:fill="auto"/>
            <w:vAlign w:val="center"/>
          </w:tcPr>
          <w:p w:rsidR="000624E6" w:rsidRPr="00FA2D4F" w:rsidRDefault="000624E6" w:rsidP="00016DFB">
            <w:pPr>
              <w:spacing w:after="0"/>
              <w:jc w:val="center"/>
              <w:rPr>
                <w:b/>
                <w:sz w:val="18"/>
              </w:rPr>
            </w:pPr>
            <w:r w:rsidRPr="00FA2D4F">
              <w:rPr>
                <w:sz w:val="18"/>
              </w:rPr>
              <w:t>[TBD]</w:t>
            </w:r>
          </w:p>
        </w:tc>
        <w:tc>
          <w:tcPr>
            <w:tcW w:w="1942" w:type="dxa"/>
            <w:shd w:val="clear" w:color="auto" w:fill="auto"/>
            <w:vAlign w:val="center"/>
          </w:tcPr>
          <w:p w:rsidR="000624E6" w:rsidRPr="00FA2D4F" w:rsidRDefault="000624E6" w:rsidP="00016DFB">
            <w:pPr>
              <w:spacing w:after="0"/>
              <w:jc w:val="center"/>
              <w:rPr>
                <w:b/>
                <w:sz w:val="18"/>
              </w:rPr>
            </w:pPr>
            <w:r w:rsidRPr="00FA2D4F">
              <w:rPr>
                <w:sz w:val="18"/>
              </w:rPr>
              <w:t>[TBD]</w:t>
            </w:r>
          </w:p>
        </w:tc>
        <w:tc>
          <w:tcPr>
            <w:tcW w:w="1942" w:type="dxa"/>
            <w:shd w:val="clear" w:color="auto" w:fill="auto"/>
            <w:vAlign w:val="center"/>
          </w:tcPr>
          <w:p w:rsidR="000624E6" w:rsidRPr="00FA2D4F" w:rsidRDefault="000624E6" w:rsidP="00016DFB">
            <w:pPr>
              <w:spacing w:after="0"/>
              <w:jc w:val="center"/>
              <w:rPr>
                <w:b/>
                <w:sz w:val="18"/>
              </w:rPr>
            </w:pPr>
            <w:r w:rsidRPr="00FA2D4F">
              <w:rPr>
                <w:sz w:val="18"/>
              </w:rPr>
              <w:t>[TBD]</w:t>
            </w:r>
          </w:p>
        </w:tc>
        <w:tc>
          <w:tcPr>
            <w:tcW w:w="1942" w:type="dxa"/>
            <w:shd w:val="clear" w:color="auto" w:fill="auto"/>
            <w:vAlign w:val="center"/>
          </w:tcPr>
          <w:p w:rsidR="000624E6" w:rsidRPr="00FA2D4F" w:rsidRDefault="000624E6" w:rsidP="00016DFB">
            <w:pPr>
              <w:spacing w:after="0"/>
              <w:jc w:val="center"/>
              <w:rPr>
                <w:b/>
                <w:sz w:val="18"/>
              </w:rPr>
            </w:pPr>
            <w:r w:rsidRPr="00FA2D4F">
              <w:rPr>
                <w:sz w:val="18"/>
              </w:rPr>
              <w:t>[TBD]</w:t>
            </w:r>
          </w:p>
        </w:tc>
      </w:tr>
    </w:tbl>
    <w:p w:rsidR="000624E6" w:rsidRPr="00FA2D4F" w:rsidRDefault="000624E6" w:rsidP="000624E6">
      <w:pPr>
        <w:ind w:firstLine="284"/>
        <w:rPr>
          <w:rFonts w:eastAsia="Times New Roman"/>
          <w:i/>
        </w:rPr>
      </w:pPr>
    </w:p>
    <w:p w:rsidR="000624E6" w:rsidRDefault="000624E6" w:rsidP="002B1082">
      <w:r>
        <w:t xml:space="preserve">In addition, there is an agreement for FR2 interband CA in </w:t>
      </w:r>
      <w:r w:rsidR="00761708">
        <w:fldChar w:fldCharType="begin"/>
      </w:r>
      <w:r w:rsidR="00761708">
        <w:instrText xml:space="preserve"> REF _Ref527716811 \r \h </w:instrText>
      </w:r>
      <w:r w:rsidR="00761708">
        <w:fldChar w:fldCharType="separate"/>
      </w:r>
      <w:r w:rsidR="00761708">
        <w:t>[2]</w:t>
      </w:r>
      <w:r w:rsidR="00761708">
        <w:fldChar w:fldCharType="end"/>
      </w:r>
    </w:p>
    <w:p w:rsidR="000624E6" w:rsidRPr="00CC74C8" w:rsidRDefault="000624E6" w:rsidP="000624E6">
      <w:r w:rsidRPr="00CC74C8">
        <w:rPr>
          <w:highlight w:val="green"/>
        </w:rPr>
        <w:t>FR2 interband CA Kca w</w:t>
      </w:r>
      <w:r>
        <w:rPr>
          <w:highlight w:val="green"/>
        </w:rPr>
        <w:t>ill not be defined in release 15 unless a FR2+FR2 interband CA combo is finalised by RAN4 RF in rel15</w:t>
      </w:r>
    </w:p>
    <w:p w:rsidR="000624E6" w:rsidRPr="002B1082" w:rsidRDefault="00761708" w:rsidP="002B1082">
      <w:r>
        <w:t>Hence, in this contribution, we discuss the outstanding case for FR1+FR2 CA</w:t>
      </w:r>
    </w:p>
    <w:p w:rsidR="005813AA" w:rsidRDefault="005813AA" w:rsidP="005813AA">
      <w:pPr>
        <w:pStyle w:val="Heading1"/>
        <w:jc w:val="both"/>
        <w:rPr>
          <w:rFonts w:eastAsia="SimSun"/>
          <w:lang w:val="en-US" w:eastAsia="zh-CN"/>
        </w:rPr>
      </w:pPr>
      <w:r>
        <w:rPr>
          <w:rFonts w:eastAsia="SimSun"/>
          <w:lang w:val="en-US" w:eastAsia="zh-CN"/>
        </w:rPr>
        <w:t>Discussion</w:t>
      </w:r>
    </w:p>
    <w:p w:rsidR="00761708" w:rsidRPr="00761708" w:rsidRDefault="00761708" w:rsidP="00761708">
      <w:pPr>
        <w:rPr>
          <w:u w:val="single"/>
          <w:lang w:val="en-US" w:eastAsia="zh-CN"/>
        </w:rPr>
      </w:pPr>
      <w:r w:rsidRPr="00761708">
        <w:rPr>
          <w:u w:val="single"/>
          <w:lang w:val="en-US" w:eastAsia="zh-CN"/>
        </w:rPr>
        <w:t>PCell scaling factor</w:t>
      </w:r>
    </w:p>
    <w:p w:rsidR="002B1082" w:rsidRDefault="00761708" w:rsidP="002B1082">
      <w:r>
        <w:rPr>
          <w:lang w:val="en-US" w:eastAsia="zh-CN"/>
        </w:rPr>
        <w:t xml:space="preserve">For FR1+FR2 CA, the PCell is always configured on FR1. From a system perspective, the configuration of an FR2 SCell does not reduce the mobility needs on FR1. For FR1 single carrier operation, or FR1-only CA operation, </w:t>
      </w:r>
      <w:r w:rsidRPr="003A016C">
        <w:rPr>
          <w:i/>
        </w:rPr>
        <w:t>C</w:t>
      </w:r>
      <w:r>
        <w:rPr>
          <w:i/>
        </w:rPr>
        <w:t>S</w:t>
      </w:r>
      <w:r w:rsidRPr="003A016C">
        <w:rPr>
          <w:i/>
        </w:rPr>
        <w:t>SF</w:t>
      </w:r>
      <w:r w:rsidRPr="003A016C">
        <w:rPr>
          <w:vertAlign w:val="subscript"/>
        </w:rPr>
        <w:t>outside_gap_i</w:t>
      </w:r>
      <w:r>
        <w:t>=1. Since the mobility needs are the same for FR1+FR2 CA, we propose</w:t>
      </w:r>
    </w:p>
    <w:p w:rsidR="00761708" w:rsidRDefault="00761708" w:rsidP="002B1082">
      <w:pPr>
        <w:rPr>
          <w:b/>
        </w:rPr>
      </w:pPr>
      <w:r w:rsidRPr="00761708">
        <w:rPr>
          <w:b/>
        </w:rPr>
        <w:t xml:space="preserve">Proposal </w:t>
      </w:r>
      <w:r w:rsidR="007D2D58" w:rsidRPr="00761708">
        <w:rPr>
          <w:b/>
        </w:rPr>
        <w:t>1:</w:t>
      </w:r>
      <w:r w:rsidRPr="00761708">
        <w:rPr>
          <w:b/>
        </w:rPr>
        <w:t xml:space="preserve"> CSSF</w:t>
      </w:r>
      <w:r w:rsidRPr="00761708">
        <w:rPr>
          <w:b/>
          <w:vertAlign w:val="subscript"/>
        </w:rPr>
        <w:t>outside_gap_i</w:t>
      </w:r>
      <w:r w:rsidRPr="00761708">
        <w:rPr>
          <w:b/>
        </w:rPr>
        <w:t xml:space="preserve"> = 1 for PCell in FR1+FR2 carrier aggregation</w:t>
      </w:r>
    </w:p>
    <w:p w:rsidR="00761708" w:rsidRDefault="00761708" w:rsidP="002B1082">
      <w:r>
        <w:t xml:space="preserve">If it were possible to accept </w:t>
      </w:r>
      <w:r w:rsidRPr="00761708">
        <w:t>CSSF</w:t>
      </w:r>
      <w:r w:rsidRPr="00761708">
        <w:rPr>
          <w:vertAlign w:val="subscript"/>
        </w:rPr>
        <w:t>outside_gap_i</w:t>
      </w:r>
      <w:r w:rsidRPr="00761708">
        <w:t xml:space="preserve"> &gt; 1</w:t>
      </w:r>
      <w:r>
        <w:t xml:space="preserve"> for FR1+FR2 carrier aggregation, then the implication is that RAN4 has </w:t>
      </w:r>
      <w:r w:rsidR="007D2D58">
        <w:t>over dimensioned</w:t>
      </w:r>
      <w:r>
        <w:t xml:space="preserve"> the requirements for single carrier FR1 operation and for FR1 only carrier aggregation</w:t>
      </w:r>
    </w:p>
    <w:p w:rsidR="00761708" w:rsidRDefault="00761708" w:rsidP="002B1082">
      <w:pPr>
        <w:rPr>
          <w:u w:val="single"/>
        </w:rPr>
      </w:pPr>
      <w:r w:rsidRPr="00761708">
        <w:rPr>
          <w:u w:val="single"/>
        </w:rPr>
        <w:t>S</w:t>
      </w:r>
      <w:r w:rsidR="000405FA">
        <w:rPr>
          <w:u w:val="single"/>
        </w:rPr>
        <w:t>CC frequency</w:t>
      </w:r>
      <w:r w:rsidRPr="00761708">
        <w:rPr>
          <w:u w:val="single"/>
        </w:rPr>
        <w:t xml:space="preserve"> </w:t>
      </w:r>
      <w:r w:rsidR="000405FA">
        <w:rPr>
          <w:u w:val="single"/>
        </w:rPr>
        <w:t xml:space="preserve">on FR2 </w:t>
      </w:r>
      <w:r w:rsidRPr="00761708">
        <w:rPr>
          <w:u w:val="single"/>
        </w:rPr>
        <w:t xml:space="preserve">where neighbour measurements are </w:t>
      </w:r>
      <w:r>
        <w:rPr>
          <w:u w:val="single"/>
        </w:rPr>
        <w:t>performed</w:t>
      </w:r>
    </w:p>
    <w:p w:rsidR="00761708" w:rsidRDefault="00761708" w:rsidP="002B1082">
      <w:r w:rsidRPr="00761708">
        <w:t xml:space="preserve">In </w:t>
      </w:r>
      <w:r>
        <w:t>FR1+FR2 carrier aggregation, there is only one FR2 frequency where neighbour cell measurements are made. Due to the widely different pathloss, and the use of beamforming on FR2, there can be no assumption that coverage is similar between FR1</w:t>
      </w:r>
      <w:r w:rsidR="000405FA">
        <w:t xml:space="preserve"> and FR2. Hence, although this frequency is an SCC frequency, the measurements are critical for performing SCell management in the same way that they would be critical for handover preparation for an FR2 PCell. Hence, similarly to proposal 1,</w:t>
      </w:r>
    </w:p>
    <w:p w:rsidR="000405FA" w:rsidRDefault="000405FA" w:rsidP="000405FA">
      <w:pPr>
        <w:rPr>
          <w:b/>
        </w:rPr>
      </w:pPr>
      <w:r>
        <w:rPr>
          <w:b/>
        </w:rPr>
        <w:t xml:space="preserve">Proposal </w:t>
      </w:r>
      <w:r w:rsidR="007D2D58">
        <w:rPr>
          <w:b/>
        </w:rPr>
        <w:t>2</w:t>
      </w:r>
      <w:r w:rsidR="007D2D58" w:rsidRPr="00761708">
        <w:rPr>
          <w:b/>
        </w:rPr>
        <w:t>:</w:t>
      </w:r>
      <w:r w:rsidRPr="00761708">
        <w:rPr>
          <w:b/>
        </w:rPr>
        <w:t xml:space="preserve"> CSSF</w:t>
      </w:r>
      <w:r w:rsidRPr="00761708">
        <w:rPr>
          <w:b/>
          <w:vertAlign w:val="subscript"/>
        </w:rPr>
        <w:t>outside_gap_i</w:t>
      </w:r>
      <w:r w:rsidRPr="00761708">
        <w:rPr>
          <w:b/>
        </w:rPr>
        <w:t xml:space="preserve"> = 1</w:t>
      </w:r>
      <w:r>
        <w:rPr>
          <w:b/>
        </w:rPr>
        <w:t xml:space="preserve"> for</w:t>
      </w:r>
      <w:r w:rsidRPr="00761708">
        <w:rPr>
          <w:b/>
        </w:rPr>
        <w:t xml:space="preserve"> </w:t>
      </w:r>
      <w:r w:rsidRPr="000405FA">
        <w:rPr>
          <w:b/>
        </w:rPr>
        <w:t>SCC frequency on FR2 where neighbour measurements are performed</w:t>
      </w:r>
      <w:r>
        <w:rPr>
          <w:b/>
        </w:rPr>
        <w:t xml:space="preserve"> </w:t>
      </w:r>
      <w:r w:rsidRPr="00761708">
        <w:rPr>
          <w:b/>
        </w:rPr>
        <w:t>in FR1+FR2 carrier aggregation</w:t>
      </w:r>
    </w:p>
    <w:p w:rsidR="000405FA" w:rsidRDefault="000405FA" w:rsidP="002B1082">
      <w:pPr>
        <w:rPr>
          <w:u w:val="single"/>
        </w:rPr>
      </w:pPr>
      <w:r w:rsidRPr="000405FA">
        <w:rPr>
          <w:u w:val="single"/>
        </w:rPr>
        <w:lastRenderedPageBreak/>
        <w:t>Other SCells</w:t>
      </w:r>
    </w:p>
    <w:p w:rsidR="000405FA" w:rsidRDefault="000405FA" w:rsidP="002B1082">
      <w:r>
        <w:t xml:space="preserve">Earlier we have proposed to have differentiated </w:t>
      </w:r>
      <w:r w:rsidRPr="00761708">
        <w:t>CSSF</w:t>
      </w:r>
      <w:r w:rsidRPr="00761708">
        <w:rPr>
          <w:vertAlign w:val="subscript"/>
        </w:rPr>
        <w:t>outside_gap_i</w:t>
      </w:r>
      <w:r w:rsidR="00190668" w:rsidRPr="00190668">
        <w:t xml:space="preserve"> for </w:t>
      </w:r>
      <w:r w:rsidR="00760049">
        <w:t xml:space="preserve">FR1 SCells and FR2 SCells when FR1+FR2 carrier aggregation was used. This was also related to our proposal for FR2-only CA, which was not agreed in RAN4#88bis. </w:t>
      </w:r>
      <w:r w:rsidR="008C5421">
        <w:t>Since the main discussion point about whether FR2 other SCell measurement was simpler due to only being performed on serving cells was not agreed, we propose</w:t>
      </w:r>
    </w:p>
    <w:p w:rsidR="008C5421" w:rsidRDefault="00876D0B" w:rsidP="008C5421">
      <w:pPr>
        <w:rPr>
          <w:b/>
        </w:rPr>
      </w:pPr>
      <w:r>
        <w:rPr>
          <w:b/>
        </w:rPr>
        <w:t>Propos</w:t>
      </w:r>
      <w:r w:rsidR="008C5421">
        <w:rPr>
          <w:b/>
        </w:rPr>
        <w:t xml:space="preserve">al </w:t>
      </w:r>
      <w:r w:rsidR="007D2D58">
        <w:rPr>
          <w:b/>
        </w:rPr>
        <w:t>3:</w:t>
      </w:r>
      <w:r w:rsidR="002A6404">
        <w:rPr>
          <w:b/>
        </w:rPr>
        <w:t xml:space="preserve"> For all other SCells, </w:t>
      </w:r>
      <w:r w:rsidR="002A6404" w:rsidRPr="002A6404">
        <w:rPr>
          <w:b/>
        </w:rPr>
        <w:t>CSSFoutside_gap_i = (number of FR1 SCell + Number of FR2 SCell frequencies where neighbour measurements are not performed)</w:t>
      </w:r>
    </w:p>
    <w:p w:rsidR="00876D0B" w:rsidRDefault="00876D0B" w:rsidP="002B1082">
      <w:pPr>
        <w:pBdr>
          <w:bottom w:val="single" w:sz="6" w:space="1" w:color="auto"/>
        </w:pBdr>
      </w:pPr>
      <w:r>
        <w:t xml:space="preserve">If proposals 1,2 and 3 are adopted, the requirements can be simplified according to the following text proposal, since there is not a strong </w:t>
      </w:r>
      <w:r w:rsidR="007D2D58">
        <w:t>differentiation</w:t>
      </w:r>
      <w:r>
        <w:t xml:space="preserve"> between FR1 and FR2</w:t>
      </w:r>
      <w:r w:rsidR="002A6404">
        <w:t>, or between different CA cases</w:t>
      </w:r>
    </w:p>
    <w:p w:rsidR="00876D0B" w:rsidRPr="002A6404" w:rsidRDefault="00876D0B" w:rsidP="002B1082">
      <w:pPr>
        <w:rPr>
          <w:b/>
        </w:rPr>
      </w:pPr>
      <w:r w:rsidRPr="002A6404">
        <w:rPr>
          <w:b/>
        </w:rPr>
        <w:t>Text proposal</w:t>
      </w:r>
    </w:p>
    <w:p w:rsidR="002A6404" w:rsidRDefault="002A6404" w:rsidP="002A6404">
      <w:pPr>
        <w:numPr>
          <w:ilvl w:val="0"/>
          <w:numId w:val="24"/>
        </w:numPr>
      </w:pPr>
      <w:r w:rsidRPr="00876D0B">
        <w:t>CSSF</w:t>
      </w:r>
      <w:r w:rsidRPr="00876D0B">
        <w:rPr>
          <w:vertAlign w:val="subscript"/>
        </w:rPr>
        <w:t>outside_gap_i</w:t>
      </w:r>
      <w:r w:rsidRPr="00876D0B">
        <w:t xml:space="preserve"> =1</w:t>
      </w:r>
      <w:r>
        <w:t xml:space="preserve"> if carrier </w:t>
      </w:r>
      <w:r w:rsidR="007D2D58">
        <w:t>if</w:t>
      </w:r>
      <w:r>
        <w:t xml:space="preserve"> corresponds to a PCC on FR1 or FR2, or a PSCC on FR1 or FR2, or an SCC on FR2 where neighbour cells are required to be measured.</w:t>
      </w:r>
    </w:p>
    <w:p w:rsidR="002A6404" w:rsidRDefault="002A6404" w:rsidP="002A6404">
      <w:pPr>
        <w:numPr>
          <w:ilvl w:val="0"/>
          <w:numId w:val="24"/>
        </w:numPr>
      </w:pPr>
      <w:r w:rsidRPr="00876D0B">
        <w:t>CSSF</w:t>
      </w:r>
      <w:r w:rsidRPr="00876D0B">
        <w:rPr>
          <w:vertAlign w:val="subscript"/>
        </w:rPr>
        <w:t>outside_gap_i</w:t>
      </w:r>
      <w:r w:rsidRPr="00876D0B">
        <w:t xml:space="preserve"> = (number of FR1 SCell</w:t>
      </w:r>
      <w:r>
        <w:t>s</w:t>
      </w:r>
      <w:r w:rsidRPr="00876D0B">
        <w:t xml:space="preserve"> + Number of FR2 SCell frequencies where neighbour measurements are not </w:t>
      </w:r>
      <w:r>
        <w:t xml:space="preserve">required to be </w:t>
      </w:r>
      <w:r w:rsidRPr="00876D0B">
        <w:t>performed</w:t>
      </w:r>
      <w:r>
        <w:t>) if carrier i corresponds to any other SCC.</w:t>
      </w:r>
    </w:p>
    <w:p w:rsidR="002A6404" w:rsidRDefault="002A6404" w:rsidP="002A6404">
      <w:pPr>
        <w:pBdr>
          <w:bottom w:val="single" w:sz="6" w:space="1" w:color="auto"/>
        </w:pBdr>
      </w:pPr>
    </w:p>
    <w:p w:rsidR="002A6404" w:rsidRDefault="002A6404" w:rsidP="002B1082"/>
    <w:p w:rsidR="002A6404" w:rsidRPr="00876D0B" w:rsidRDefault="002A6404" w:rsidP="002B1082"/>
    <w:p w:rsidR="005813AA" w:rsidRDefault="005813AA" w:rsidP="005813AA">
      <w:pPr>
        <w:pStyle w:val="Heading1"/>
        <w:jc w:val="both"/>
        <w:rPr>
          <w:rFonts w:eastAsia="SimSun"/>
          <w:lang w:val="en-US" w:eastAsia="zh-CN"/>
        </w:rPr>
      </w:pPr>
      <w:r>
        <w:rPr>
          <w:rFonts w:eastAsia="SimSun"/>
          <w:lang w:val="en-US" w:eastAsia="zh-CN"/>
        </w:rPr>
        <w:t>Conclusion</w:t>
      </w:r>
    </w:p>
    <w:p w:rsidR="00DD2563" w:rsidRDefault="007D2D58" w:rsidP="00DD2563">
      <w:r w:rsidRPr="007D2D58">
        <w:t xml:space="preserve">In </w:t>
      </w:r>
      <w:r>
        <w:t>this contribution, we discuss scaling for intra-frequecny measurements with multiple SCells. We propose</w:t>
      </w:r>
    </w:p>
    <w:p w:rsidR="007D2D58" w:rsidRPr="007D2D58" w:rsidRDefault="007D2D58" w:rsidP="007D2D58">
      <w:pPr>
        <w:rPr>
          <w:b/>
        </w:rPr>
      </w:pPr>
      <w:r w:rsidRPr="00761708">
        <w:rPr>
          <w:b/>
        </w:rPr>
        <w:t>Proposal 1: CSSF</w:t>
      </w:r>
      <w:r w:rsidRPr="00761708">
        <w:rPr>
          <w:b/>
          <w:vertAlign w:val="subscript"/>
        </w:rPr>
        <w:t>outside_gap_i</w:t>
      </w:r>
      <w:r w:rsidRPr="00761708">
        <w:rPr>
          <w:b/>
        </w:rPr>
        <w:t xml:space="preserve"> = 1 for PCell in FR1+FR2 carrier aggregation</w:t>
      </w:r>
    </w:p>
    <w:p w:rsidR="007D2D58" w:rsidRDefault="007D2D58" w:rsidP="007D2D58">
      <w:pPr>
        <w:rPr>
          <w:b/>
        </w:rPr>
      </w:pPr>
      <w:r>
        <w:rPr>
          <w:b/>
        </w:rPr>
        <w:t>Proposal 2</w:t>
      </w:r>
      <w:r w:rsidRPr="00761708">
        <w:rPr>
          <w:b/>
        </w:rPr>
        <w:t>: CSSF</w:t>
      </w:r>
      <w:r w:rsidRPr="00761708">
        <w:rPr>
          <w:b/>
          <w:vertAlign w:val="subscript"/>
        </w:rPr>
        <w:t>outside_gap_i</w:t>
      </w:r>
      <w:r w:rsidRPr="00761708">
        <w:rPr>
          <w:b/>
        </w:rPr>
        <w:t xml:space="preserve"> = 1</w:t>
      </w:r>
      <w:r>
        <w:rPr>
          <w:b/>
        </w:rPr>
        <w:t xml:space="preserve"> for</w:t>
      </w:r>
      <w:r w:rsidRPr="00761708">
        <w:rPr>
          <w:b/>
        </w:rPr>
        <w:t xml:space="preserve"> </w:t>
      </w:r>
      <w:r w:rsidRPr="000405FA">
        <w:rPr>
          <w:b/>
        </w:rPr>
        <w:t>SCC frequency on FR2 where neighbour measurements are performed</w:t>
      </w:r>
      <w:r>
        <w:rPr>
          <w:b/>
        </w:rPr>
        <w:t xml:space="preserve"> </w:t>
      </w:r>
      <w:r w:rsidRPr="00761708">
        <w:rPr>
          <w:b/>
        </w:rPr>
        <w:t>in FR1+FR2 carrier aggregation</w:t>
      </w:r>
    </w:p>
    <w:p w:rsidR="007D2D58" w:rsidRDefault="007D2D58" w:rsidP="007D2D58">
      <w:pPr>
        <w:rPr>
          <w:b/>
        </w:rPr>
      </w:pPr>
      <w:r>
        <w:rPr>
          <w:b/>
        </w:rPr>
        <w:t xml:space="preserve">Proposal 3: For all other SCells, </w:t>
      </w:r>
      <w:r w:rsidRPr="002A6404">
        <w:rPr>
          <w:b/>
        </w:rPr>
        <w:t>CSSFoutside_gap_i = (number of FR1 SCell + Number of FR2 SCell frequencies where neighbour measurements are not performed)</w:t>
      </w:r>
    </w:p>
    <w:p w:rsidR="005813AA" w:rsidRDefault="005813AA" w:rsidP="005813AA">
      <w:pPr>
        <w:pStyle w:val="Heading1"/>
        <w:jc w:val="both"/>
        <w:rPr>
          <w:rFonts w:eastAsia="SimSun"/>
          <w:lang w:val="en-US" w:eastAsia="zh-CN"/>
        </w:rPr>
      </w:pPr>
      <w:r>
        <w:rPr>
          <w:rFonts w:eastAsia="SimSun"/>
          <w:lang w:val="en-US" w:eastAsia="zh-CN"/>
        </w:rPr>
        <w:t>References</w:t>
      </w:r>
    </w:p>
    <w:p w:rsidR="00C36F14" w:rsidRDefault="00A03232" w:rsidP="00A03232">
      <w:pPr>
        <w:pStyle w:val="3GPPNormalText"/>
        <w:numPr>
          <w:ilvl w:val="0"/>
          <w:numId w:val="5"/>
        </w:numPr>
        <w:rPr>
          <w:lang w:eastAsia="zh-CN"/>
        </w:rPr>
      </w:pPr>
      <w:bookmarkStart w:id="2" w:name="_Ref523902554"/>
      <w:bookmarkStart w:id="3" w:name="_Ref527716554"/>
      <w:r w:rsidRPr="00A03232">
        <w:rPr>
          <w:lang w:eastAsia="zh-CN"/>
        </w:rPr>
        <w:t>R4-18</w:t>
      </w:r>
      <w:bookmarkEnd w:id="2"/>
      <w:r w:rsidR="000624E6">
        <w:rPr>
          <w:lang w:eastAsia="zh-CN"/>
        </w:rPr>
        <w:t>14019, “</w:t>
      </w:r>
      <w:r w:rsidR="000624E6" w:rsidRPr="001D5395">
        <w:rPr>
          <w:noProof/>
        </w:rPr>
        <w:t xml:space="preserve">CR on TS38.133 </w:t>
      </w:r>
      <w:r w:rsidR="000624E6">
        <w:rPr>
          <w:noProof/>
        </w:rPr>
        <w:t>c</w:t>
      </w:r>
      <w:r w:rsidR="000624E6" w:rsidRPr="00527DAF">
        <w:rPr>
          <w:noProof/>
        </w:rPr>
        <w:t xml:space="preserve">arrier-specific scaling factor </w:t>
      </w:r>
      <w:r w:rsidR="000624E6">
        <w:rPr>
          <w:noProof/>
        </w:rPr>
        <w:t>for</w:t>
      </w:r>
      <w:r w:rsidR="000624E6" w:rsidRPr="006D3CCB">
        <w:rPr>
          <w:noProof/>
        </w:rPr>
        <w:t xml:space="preserve"> multiple </w:t>
      </w:r>
      <w:r w:rsidR="000624E6" w:rsidRPr="00527DAF">
        <w:rPr>
          <w:noProof/>
        </w:rPr>
        <w:t>measurement objects</w:t>
      </w:r>
      <w:r w:rsidR="000624E6">
        <w:rPr>
          <w:noProof/>
        </w:rPr>
        <w:t xml:space="preserve"> (section 9.1.5)”, Ericsson, Mediatek</w:t>
      </w:r>
      <w:bookmarkEnd w:id="3"/>
    </w:p>
    <w:p w:rsidR="000624E6" w:rsidRDefault="000624E6" w:rsidP="000624E6">
      <w:pPr>
        <w:pStyle w:val="3GPPNormalText"/>
        <w:numPr>
          <w:ilvl w:val="0"/>
          <w:numId w:val="5"/>
        </w:numPr>
        <w:rPr>
          <w:lang w:eastAsia="zh-CN"/>
        </w:rPr>
      </w:pPr>
      <w:bookmarkStart w:id="4" w:name="_Ref527716811"/>
      <w:r>
        <w:rPr>
          <w:noProof/>
        </w:rPr>
        <w:t>R4-1813730, “</w:t>
      </w:r>
      <w:r w:rsidRPr="000624E6">
        <w:rPr>
          <w:noProof/>
        </w:rPr>
        <w:t>Meeting minutes intra/inter frequency measurement procedures</w:t>
      </w:r>
      <w:r>
        <w:rPr>
          <w:noProof/>
        </w:rPr>
        <w:t>”, Ericsson</w:t>
      </w:r>
      <w:bookmarkEnd w:id="4"/>
    </w:p>
    <w:sectPr w:rsidR="000624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4BEA" w:rsidRDefault="006B4BEA">
      <w:r>
        <w:separator/>
      </w:r>
    </w:p>
  </w:endnote>
  <w:endnote w:type="continuationSeparator" w:id="0">
    <w:p w:rsidR="006B4BEA" w:rsidRDefault="006B4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4BEA" w:rsidRDefault="006B4BEA">
      <w:r>
        <w:separator/>
      </w:r>
    </w:p>
  </w:footnote>
  <w:footnote w:type="continuationSeparator" w:id="0">
    <w:p w:rsidR="006B4BEA" w:rsidRDefault="006B4B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3D46E0"/>
    <w:multiLevelType w:val="hybridMultilevel"/>
    <w:tmpl w:val="645ED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3"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BC330F5"/>
    <w:multiLevelType w:val="hybridMultilevel"/>
    <w:tmpl w:val="C2769C2A"/>
    <w:lvl w:ilvl="0" w:tplc="8D84852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C24EA178">
      <w:start w:val="1"/>
      <w:numFmt w:val="bullet"/>
      <w:lvlText w:val="o"/>
      <w:lvlJc w:val="left"/>
      <w:pPr>
        <w:tabs>
          <w:tab w:val="num" w:pos="1440"/>
        </w:tabs>
        <w:ind w:left="1440" w:hanging="360"/>
      </w:pPr>
      <w:rPr>
        <w:rFonts w:ascii="Arial" w:hAnsi="Arial" w:cs="Arial" w:hint="default"/>
      </w:rPr>
    </w:lvl>
    <w:lvl w:ilvl="2" w:tplc="2728A04C" w:tentative="1">
      <w:start w:val="1"/>
      <w:numFmt w:val="bullet"/>
      <w:lvlText w:val=""/>
      <w:lvlJc w:val="left"/>
      <w:pPr>
        <w:tabs>
          <w:tab w:val="num" w:pos="2160"/>
        </w:tabs>
        <w:ind w:left="2160" w:hanging="360"/>
      </w:pPr>
      <w:rPr>
        <w:rFonts w:ascii="Batang" w:hAnsi="Batang" w:hint="default"/>
      </w:rPr>
    </w:lvl>
    <w:lvl w:ilvl="3" w:tplc="1C66BAD8" w:tentative="1">
      <w:start w:val="1"/>
      <w:numFmt w:val="bullet"/>
      <w:lvlText w:val=""/>
      <w:lvlJc w:val="left"/>
      <w:pPr>
        <w:tabs>
          <w:tab w:val="num" w:pos="2880"/>
        </w:tabs>
        <w:ind w:left="2880" w:hanging="360"/>
      </w:pPr>
      <w:rPr>
        <w:rFonts w:ascii="Wingdings" w:hAnsi="Wingdings" w:hint="default"/>
      </w:rPr>
    </w:lvl>
    <w:lvl w:ilvl="4" w:tplc="98A69160" w:tentative="1">
      <w:start w:val="1"/>
      <w:numFmt w:val="bullet"/>
      <w:lvlText w:val="o"/>
      <w:lvlJc w:val="left"/>
      <w:pPr>
        <w:tabs>
          <w:tab w:val="num" w:pos="3600"/>
        </w:tabs>
        <w:ind w:left="3600" w:hanging="360"/>
      </w:pPr>
      <w:rPr>
        <w:rFonts w:ascii="Arial" w:hAnsi="Arial" w:cs="Arial" w:hint="default"/>
      </w:rPr>
    </w:lvl>
    <w:lvl w:ilvl="5" w:tplc="88EC5BBA" w:tentative="1">
      <w:start w:val="1"/>
      <w:numFmt w:val="bullet"/>
      <w:lvlText w:val=""/>
      <w:lvlJc w:val="left"/>
      <w:pPr>
        <w:tabs>
          <w:tab w:val="num" w:pos="4320"/>
        </w:tabs>
        <w:ind w:left="4320" w:hanging="360"/>
      </w:pPr>
      <w:rPr>
        <w:rFonts w:ascii="Batang" w:hAnsi="Batang" w:hint="default"/>
      </w:rPr>
    </w:lvl>
    <w:lvl w:ilvl="6" w:tplc="69DA6B2E" w:tentative="1">
      <w:start w:val="1"/>
      <w:numFmt w:val="bullet"/>
      <w:lvlText w:val=""/>
      <w:lvlJc w:val="left"/>
      <w:pPr>
        <w:tabs>
          <w:tab w:val="num" w:pos="5040"/>
        </w:tabs>
        <w:ind w:left="5040" w:hanging="360"/>
      </w:pPr>
      <w:rPr>
        <w:rFonts w:ascii="Wingdings" w:hAnsi="Wingdings" w:hint="default"/>
      </w:rPr>
    </w:lvl>
    <w:lvl w:ilvl="7" w:tplc="3F3A224E" w:tentative="1">
      <w:start w:val="1"/>
      <w:numFmt w:val="bullet"/>
      <w:lvlText w:val="o"/>
      <w:lvlJc w:val="left"/>
      <w:pPr>
        <w:tabs>
          <w:tab w:val="num" w:pos="5760"/>
        </w:tabs>
        <w:ind w:left="5760" w:hanging="360"/>
      </w:pPr>
      <w:rPr>
        <w:rFonts w:ascii="Arial" w:hAnsi="Arial" w:cs="Arial" w:hint="default"/>
      </w:rPr>
    </w:lvl>
    <w:lvl w:ilvl="8" w:tplc="4CDACA6C" w:tentative="1">
      <w:start w:val="1"/>
      <w:numFmt w:val="bullet"/>
      <w:lvlText w:val=""/>
      <w:lvlJc w:val="left"/>
      <w:pPr>
        <w:tabs>
          <w:tab w:val="num" w:pos="6480"/>
        </w:tabs>
        <w:ind w:left="6480" w:hanging="360"/>
      </w:pPr>
      <w:rPr>
        <w:rFonts w:ascii="Batang" w:hAnsi="Batang" w:hint="default"/>
      </w:rPr>
    </w:lvl>
  </w:abstractNum>
  <w:abstractNum w:abstractNumId="23"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4"/>
  </w:num>
  <w:num w:numId="2">
    <w:abstractNumId w:val="21"/>
  </w:num>
  <w:num w:numId="3">
    <w:abstractNumId w:val="22"/>
  </w:num>
  <w:num w:numId="4">
    <w:abstractNumId w:val="9"/>
  </w:num>
  <w:num w:numId="5">
    <w:abstractNumId w:val="12"/>
  </w:num>
  <w:num w:numId="6">
    <w:abstractNumId w:val="4"/>
  </w:num>
  <w:num w:numId="7">
    <w:abstractNumId w:val="7"/>
  </w:num>
  <w:num w:numId="8">
    <w:abstractNumId w:val="20"/>
  </w:num>
  <w:num w:numId="9">
    <w:abstractNumId w:val="18"/>
  </w:num>
  <w:num w:numId="10">
    <w:abstractNumId w:val="17"/>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6"/>
  </w:num>
  <w:num w:numId="13">
    <w:abstractNumId w:val="1"/>
  </w:num>
  <w:num w:numId="14">
    <w:abstractNumId w:val="19"/>
  </w:num>
  <w:num w:numId="15">
    <w:abstractNumId w:val="5"/>
  </w:num>
  <w:num w:numId="16">
    <w:abstractNumId w:val="2"/>
  </w:num>
  <w:num w:numId="17">
    <w:abstractNumId w:val="15"/>
  </w:num>
  <w:num w:numId="18">
    <w:abstractNumId w:val="13"/>
  </w:num>
  <w:num w:numId="19">
    <w:abstractNumId w:val="3"/>
  </w:num>
  <w:num w:numId="20">
    <w:abstractNumId w:val="10"/>
  </w:num>
  <w:num w:numId="21">
    <w:abstractNumId w:val="11"/>
  </w:num>
  <w:num w:numId="22">
    <w:abstractNumId w:val="8"/>
  </w:num>
  <w:num w:numId="23">
    <w:abstractNumId w:val="23"/>
  </w:num>
  <w:num w:numId="2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DFB"/>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5FA"/>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4E6"/>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279"/>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5DFF"/>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668"/>
    <w:rsid w:val="00190F12"/>
    <w:rsid w:val="00191D33"/>
    <w:rsid w:val="00192293"/>
    <w:rsid w:val="001925A9"/>
    <w:rsid w:val="00193142"/>
    <w:rsid w:val="00193747"/>
    <w:rsid w:val="00193DB7"/>
    <w:rsid w:val="00193DEA"/>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031"/>
    <w:rsid w:val="002A5E44"/>
    <w:rsid w:val="002A6262"/>
    <w:rsid w:val="002A6404"/>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5CD"/>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BEA"/>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049"/>
    <w:rsid w:val="007601B6"/>
    <w:rsid w:val="007602C8"/>
    <w:rsid w:val="007604A3"/>
    <w:rsid w:val="007606A1"/>
    <w:rsid w:val="0076139F"/>
    <w:rsid w:val="00761708"/>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2D58"/>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6D0B"/>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21"/>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1F69"/>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26"/>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0FC5"/>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FA3914"/>
  <w15:chartTrackingRefBased/>
  <w15:docId w15:val="{F08236B9-DA7D-4219-B1CC-088D992D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D5408-DCCA-4E21-9D1A-E50ED6A46B2B}">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2F446C-A015-43CB-8352-026833A8C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656</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Christopher Callender</cp:lastModifiedBy>
  <cp:revision>3</cp:revision>
  <cp:lastPrinted>2009-04-22T13:01:00Z</cp:lastPrinted>
  <dcterms:created xsi:type="dcterms:W3CDTF">2018-11-01T10:23:00Z</dcterms:created>
  <dcterms:modified xsi:type="dcterms:W3CDTF">2018-11-02T16:31:00Z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